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8C101A" w:rsidRPr="00904786" w:rsidTr="008C101A">
        <w:trPr>
          <w:cantSplit/>
        </w:trPr>
        <w:tc>
          <w:tcPr>
            <w:tcW w:w="4644" w:type="dxa"/>
          </w:tcPr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8C101A" w:rsidRPr="00904786" w:rsidRDefault="008C101A" w:rsidP="008C101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8C101A" w:rsidRPr="00904786" w:rsidRDefault="008C101A" w:rsidP="008C101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8C101A" w:rsidRPr="00904786" w:rsidRDefault="008C101A" w:rsidP="008C101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8C101A" w:rsidRPr="00904786" w:rsidRDefault="008C101A" w:rsidP="008C101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8C101A" w:rsidRPr="00904786" w:rsidTr="008C101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101A" w:rsidRPr="00904786" w:rsidRDefault="008C101A" w:rsidP="008C101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8C101A" w:rsidRDefault="008C101A" w:rsidP="008C101A">
      <w:pPr>
        <w:pStyle w:val="3"/>
        <w:rPr>
          <w:b w:val="0"/>
          <w:sz w:val="8"/>
        </w:rPr>
      </w:pPr>
    </w:p>
    <w:p w:rsidR="008C101A" w:rsidRPr="00092E1E" w:rsidRDefault="008C101A" w:rsidP="008C101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caps/>
          <w:color w:val="auto"/>
          <w:spacing w:val="-20"/>
          <w:sz w:val="24"/>
          <w:szCs w:val="24"/>
          <w:lang w:val="be-BY"/>
        </w:rPr>
        <w:t>Ҡ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8C101A" w:rsidRPr="00092E1E" w:rsidRDefault="008C101A" w:rsidP="008C1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8C101A" w:rsidRPr="00092E1E" w:rsidRDefault="008C101A" w:rsidP="008C1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сельского поселения  Юмашевский сельсовет </w:t>
      </w:r>
    </w:p>
    <w:p w:rsidR="008C101A" w:rsidRPr="00092E1E" w:rsidRDefault="008C101A" w:rsidP="008C1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муниципального   района   Чекмагушевский    район</w:t>
      </w:r>
    </w:p>
    <w:p w:rsidR="008C101A" w:rsidRPr="00092E1E" w:rsidRDefault="008C101A" w:rsidP="008C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Республики Башкортостан за  11 месяцев 2016 года</w:t>
      </w:r>
    </w:p>
    <w:p w:rsidR="008C101A" w:rsidRPr="00092E1E" w:rsidRDefault="008C101A" w:rsidP="008C101A">
      <w:pPr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092E1E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</w:t>
      </w:r>
      <w:r w:rsidRPr="00284E7B">
        <w:rPr>
          <w:rFonts w:ascii="Times New Roman" w:hAnsi="Times New Roman"/>
          <w:spacing w:val="20"/>
          <w:sz w:val="28"/>
          <w:szCs w:val="28"/>
          <w:lang w:val="be-BY"/>
        </w:rPr>
        <w:t>решил</w:t>
      </w:r>
      <w:r w:rsidRPr="00092E1E">
        <w:rPr>
          <w:rFonts w:ascii="Times New Roman" w:hAnsi="Times New Roman"/>
          <w:sz w:val="28"/>
          <w:szCs w:val="28"/>
        </w:rPr>
        <w:t>:</w:t>
      </w:r>
    </w:p>
    <w:p w:rsidR="008C101A" w:rsidRPr="00092E1E" w:rsidRDefault="008C101A" w:rsidP="008C10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1.    </w:t>
      </w:r>
      <w:proofErr w:type="gramStart"/>
      <w:r w:rsidRPr="00092E1E"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Юмашевский сельсовет муниципального района Чекмагушевский район Республики Башкортостан за 11 месяцев 2016 года по доходам в сумме 5399016 рублей 85 копеек и по расходам в сумме 4760499 рублей 18 копейки, с превышением доходов над расходами в сумме 638517 рублей 67 копеек со следующими показателями:</w:t>
      </w:r>
      <w:proofErr w:type="gramEnd"/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1)  по доходам бюджета сельского поселения Юмашевский сельсовет муниципального района Чекмагушевский район Республики Башкортостан за 11 месяцев 2016 года по классификации доходов бюджетов согласно приложению 1 к настоящему решению;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2) по объему доходов  бюджета сельского поселения Юмашевский сельсовет муниципального района Чекмагушевский район Республики Башкортостан за 11 месяцев 2016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3) по ведомственной структуре расходов бюджета сельского поселения Юмашевский сельсовет муниципального района Чекмагушевский район Республики Башкортостан за  11 месяцев 2016 года согласно приложению 3 к настоящему решению.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4)  по распределению расходов бюджета сельского поселения Юмашевский сельсовет муниципального района Чекмагушевский район Республики Башкортостан за 11 месяцев 2016 года по разделам, подразделам, </w:t>
      </w:r>
      <w:r w:rsidRPr="00092E1E">
        <w:rPr>
          <w:rFonts w:ascii="Times New Roman" w:hAnsi="Times New Roman"/>
          <w:sz w:val="28"/>
          <w:szCs w:val="28"/>
        </w:rPr>
        <w:lastRenderedPageBreak/>
        <w:t xml:space="preserve">целевым статьям и видам  </w:t>
      </w:r>
      <w:proofErr w:type="gramStart"/>
      <w:r w:rsidRPr="00092E1E">
        <w:rPr>
          <w:rFonts w:ascii="Times New Roman" w:hAnsi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 согласно приложению 4 к настоящему решению;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5)  по источникам финансирования дефицита бюджета сельского поселения Юмашевский сельсовет муниципального района Чекмагушевский район Республики Башкортостан за 11 месяцев 2016 года по кодам </w:t>
      </w:r>
      <w:proofErr w:type="gramStart"/>
      <w:r w:rsidRPr="00092E1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решению;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6)  по источникам финансирования дефицита бюджета сельского поселения Юмашевский сельсовет муниципального района Чекмагушевский район Республики Башкортостан за 11 месяцев 2016 года по кодам групп, подгрупп, статей, видов </w:t>
      </w:r>
      <w:proofErr w:type="gramStart"/>
      <w:r w:rsidRPr="00092E1E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Глава сельского поселения:                         Е.С.Семенова</w:t>
      </w:r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8C101A" w:rsidRPr="00092E1E" w:rsidRDefault="008C101A" w:rsidP="008C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декабря 2016 года</w:t>
      </w:r>
    </w:p>
    <w:p w:rsidR="008C101A" w:rsidRPr="00092E1E" w:rsidRDefault="008C101A" w:rsidP="008C1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 49</w:t>
      </w:r>
    </w:p>
    <w:p w:rsidR="008C101A" w:rsidRPr="00092E1E" w:rsidRDefault="008C101A" w:rsidP="008C101A">
      <w:pPr>
        <w:pStyle w:val="3"/>
        <w:spacing w:before="0" w:line="240" w:lineRule="auto"/>
        <w:rPr>
          <w:rFonts w:ascii="Times New Roman" w:hAnsi="Times New Roman"/>
          <w:b w:val="0"/>
          <w:caps/>
          <w:spacing w:val="-20"/>
          <w:sz w:val="28"/>
          <w:szCs w:val="28"/>
        </w:rPr>
      </w:pPr>
    </w:p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p w:rsidR="008C101A" w:rsidRDefault="008C101A"/>
    <w:tbl>
      <w:tblPr>
        <w:tblW w:w="9938" w:type="dxa"/>
        <w:tblInd w:w="93" w:type="dxa"/>
        <w:tblLayout w:type="fixed"/>
        <w:tblLook w:val="04A0"/>
      </w:tblPr>
      <w:tblGrid>
        <w:gridCol w:w="2850"/>
        <w:gridCol w:w="5178"/>
        <w:gridCol w:w="1910"/>
      </w:tblGrid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№ 1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решению Совета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Юмашевский сельсовет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Чекмагушевский район 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21  декабря 2016 года №49 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01A" w:rsidRPr="008C101A" w:rsidTr="008C101A">
        <w:trPr>
          <w:trHeight w:val="100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сельского поселения Юмашевский сельсовет муниципального района Чекмагушевский район Республики Башкортостан за 11 месяцев 2016 года по классификации доходов бюджетов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8C101A" w:rsidRPr="008C101A" w:rsidTr="008C101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</w:t>
            </w:r>
            <w:proofErr w:type="spellStart"/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</w:t>
            </w:r>
            <w:proofErr w:type="gramStart"/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тносящихся</w:t>
            </w:r>
            <w:proofErr w:type="spellEnd"/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доходам  бюджетов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5 399 016,85</w:t>
            </w:r>
          </w:p>
        </w:tc>
      </w:tr>
      <w:tr w:rsidR="008C101A" w:rsidRPr="008C101A" w:rsidTr="008C101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203 879,04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182 1010202101 0000 110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203 838,55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182 1010202201 0000 110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182 1010203001 0000 110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40,49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182 1010204001 0000 110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101A" w:rsidRPr="008C101A" w:rsidTr="008C101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1 276 318,29</w:t>
            </w:r>
          </w:p>
        </w:tc>
      </w:tr>
      <w:tr w:rsidR="008C101A" w:rsidRPr="008C101A" w:rsidTr="008C101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182 1050300001 0000 110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1 276 318,29</w:t>
            </w:r>
          </w:p>
        </w:tc>
      </w:tr>
      <w:tr w:rsidR="008C101A" w:rsidRPr="008C101A" w:rsidTr="008C101A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810 869,86</w:t>
            </w:r>
          </w:p>
        </w:tc>
      </w:tr>
      <w:tr w:rsidR="008C101A" w:rsidRPr="008C101A" w:rsidTr="008C101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 xml:space="preserve">182 1060103010 0000 110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применяемым к объ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ектам налогообложения,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расположенным в границах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62 010,58</w:t>
            </w:r>
          </w:p>
        </w:tc>
      </w:tr>
      <w:tr w:rsidR="008C101A" w:rsidRPr="008C101A" w:rsidTr="008C101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182 1060603310 0000 110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установленным в соответствии с подпунктом 1 пункта 1 статьи 394 Налогового кодекса Российской Федерации и применяемым к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ектам налогообложения,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61 634,57</w:t>
            </w:r>
          </w:p>
        </w:tc>
      </w:tr>
      <w:tr w:rsidR="008C101A" w:rsidRPr="008C101A" w:rsidTr="008C101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 xml:space="preserve">182 1060604310 0000 110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установленным в соответствии с подпунктом 2 пункта 1 статьи 394 Налогового кодекса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и применяемым к объ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ектам налогообложения,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687 224,71</w:t>
            </w:r>
          </w:p>
        </w:tc>
      </w:tr>
      <w:tr w:rsidR="008C101A" w:rsidRPr="008C101A" w:rsidTr="008C101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 xml:space="preserve">182 1090405310 2000 110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101A" w:rsidRPr="008C101A" w:rsidTr="008C101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791 10804020010000 110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уполномоченными в соответствии с законодательными актами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сийской Федерации на совершение нотариальных действий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8 270,00</w:t>
            </w:r>
          </w:p>
        </w:tc>
      </w:tr>
      <w:tr w:rsidR="008C101A" w:rsidRPr="008C101A" w:rsidTr="008C101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308 463,50</w:t>
            </w:r>
          </w:p>
        </w:tc>
      </w:tr>
      <w:tr w:rsidR="008C101A" w:rsidRPr="008C101A" w:rsidTr="008C101A">
        <w:trPr>
          <w:trHeight w:val="12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863 1110503510 0000 120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101A" w:rsidRPr="008C101A" w:rsidTr="008C101A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863 1140205310 0000 440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находящегося в собственности сельских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302 000,00</w:t>
            </w:r>
          </w:p>
        </w:tc>
      </w:tr>
      <w:tr w:rsidR="008C101A" w:rsidRPr="008C101A" w:rsidTr="008C101A">
        <w:trPr>
          <w:trHeight w:val="8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863 1110507510 0000 120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2693,5</w:t>
            </w:r>
          </w:p>
        </w:tc>
      </w:tr>
      <w:tr w:rsidR="008C101A" w:rsidRPr="008C101A" w:rsidTr="008C101A">
        <w:trPr>
          <w:trHeight w:val="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791 1130199510 0000 130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3 770,00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71 126,16</w:t>
            </w:r>
          </w:p>
        </w:tc>
      </w:tr>
      <w:tr w:rsidR="008C101A" w:rsidRPr="008C101A" w:rsidTr="008C101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 xml:space="preserve">791 1170505010 0000 180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71 126,16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01A">
              <w:rPr>
                <w:rFonts w:ascii="Times New Roman" w:hAnsi="Times New Roman"/>
                <w:b/>
                <w:bCs/>
                <w:sz w:val="24"/>
                <w:szCs w:val="24"/>
              </w:rPr>
              <w:t>2 720 090,00</w:t>
            </w:r>
          </w:p>
        </w:tc>
      </w:tr>
      <w:tr w:rsidR="008C101A" w:rsidRPr="008C101A" w:rsidTr="008C101A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791 2020905410 7301 151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1 644 980,00</w:t>
            </w:r>
          </w:p>
        </w:tc>
      </w:tr>
      <w:tr w:rsidR="008C101A" w:rsidRPr="008C101A" w:rsidTr="008C101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lastRenderedPageBreak/>
              <w:t>791 2020100110 0000 151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313 500,00</w:t>
            </w:r>
          </w:p>
        </w:tc>
      </w:tr>
      <w:tr w:rsidR="008C101A" w:rsidRPr="008C101A" w:rsidTr="008C101A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791 2020301510 0000 151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01A">
              <w:rPr>
                <w:rFonts w:ascii="Times New Roman" w:hAnsi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178 950,00</w:t>
            </w:r>
          </w:p>
        </w:tc>
      </w:tr>
      <w:tr w:rsidR="008C101A" w:rsidRPr="008C101A" w:rsidTr="008C101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791 2020499910 7503 151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8C101A" w:rsidRPr="008C101A" w:rsidTr="008C101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791 2070503010 6300 180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82 660,00</w:t>
            </w:r>
          </w:p>
        </w:tc>
      </w:tr>
    </w:tbl>
    <w:p w:rsidR="008C101A" w:rsidRDefault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Pr="008C101A" w:rsidRDefault="008C101A" w:rsidP="008C101A"/>
    <w:p w:rsidR="008C101A" w:rsidRDefault="008C101A" w:rsidP="008C101A"/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p w:rsidR="008C101A" w:rsidRDefault="008C101A" w:rsidP="008C101A">
      <w:pPr>
        <w:ind w:firstLine="708"/>
      </w:pPr>
    </w:p>
    <w:tbl>
      <w:tblPr>
        <w:tblW w:w="9311" w:type="dxa"/>
        <w:tblInd w:w="93" w:type="dxa"/>
        <w:tblLayout w:type="fixed"/>
        <w:tblLook w:val="04A0"/>
      </w:tblPr>
      <w:tblGrid>
        <w:gridCol w:w="2380"/>
        <w:gridCol w:w="470"/>
        <w:gridCol w:w="595"/>
        <w:gridCol w:w="1064"/>
        <w:gridCol w:w="1074"/>
        <w:gridCol w:w="1074"/>
        <w:gridCol w:w="1074"/>
        <w:gridCol w:w="1580"/>
      </w:tblGrid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 Приложение №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Юмашевский сельсовет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района Чекмагушевский район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от  _21 декабря 2016 года № 49</w:t>
            </w:r>
          </w:p>
        </w:tc>
      </w:tr>
      <w:tr w:rsidR="008C101A" w:rsidRPr="008C101A" w:rsidTr="008C101A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670"/>
        </w:trPr>
        <w:tc>
          <w:tcPr>
            <w:tcW w:w="93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1035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Доходы бюджета сельского поселения Юмашевский сельсовет муниципального района Чекмагушевский район Республики Башкортостан за 11 месяцев 2016 года по кодам видов доходов,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 xml:space="preserve">подвидов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доходов,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классификации операций сектора государственного управления,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относящихся к доходам бюджета</w:t>
            </w:r>
          </w:p>
        </w:tc>
      </w:tr>
      <w:tr w:rsidR="008C101A" w:rsidRPr="008C101A" w:rsidTr="008C101A">
        <w:trPr>
          <w:trHeight w:val="255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255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(в рублях)</w:t>
            </w:r>
          </w:p>
        </w:tc>
      </w:tr>
      <w:tr w:rsidR="008C101A" w:rsidRPr="008C101A" w:rsidTr="008C101A">
        <w:trPr>
          <w:trHeight w:val="12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Наименование кода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группы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,п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>одгруппы,статьи,подстатьи,элемента,подвида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доходов,статьи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(подстатьи)классификации операций сектора государственного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управления,относящихся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к доходов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Ксоовое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исполнение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5399016,85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2678926,85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203879,04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Налог на доходы  физических лиц с доходов,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источником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которых является налоговый агент, за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 xml:space="preserve">исключением доходов, в отношении которых 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исчисление и уплата налога осуществляются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в</w:t>
            </w:r>
            <w:proofErr w:type="gramEnd"/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соответствии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со статьями 227, 227,1 и 228 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70"/>
        </w:trPr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203838,55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полученных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от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олсуществления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физическими лицами, зарегистрированными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в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качестве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индивидуальных предпринимателей,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нотариусов.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Занимающихся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частной практикой,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адвокатов, учредивших адвокатские кабинеты,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других лиц, занимающихся частной практикой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в соответствии со статьей 227 Налогового кодекса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с доходов,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полученных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физическими лицами в соответствии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40,49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со статьей 228 Налогового кодекса Российской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Федерации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в виде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фиксиро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ванных авансовых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поатежей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с доходов, полученных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физическими лицами, являющимися иностранными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гражданами, осуществляющими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трудовую</w:t>
            </w:r>
            <w:proofErr w:type="gram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деятельность по найму у физических лиц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на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основании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патента в соответствии со статьей 227.1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0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101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1276318,29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1276318,29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819139,86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1 06 01030 10 0000 110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Налог  на имущество физических лиц, взимаемый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C101A">
              <w:rPr>
                <w:rFonts w:ascii="Arial Cyr" w:hAnsi="Arial Cyr"/>
                <w:sz w:val="20"/>
                <w:szCs w:val="20"/>
              </w:rPr>
              <w:t>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62010,58</w:t>
            </w:r>
          </w:p>
        </w:tc>
      </w:tr>
      <w:tr w:rsidR="008C101A" w:rsidRPr="008C101A" w:rsidTr="008C101A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1 06 06033 10 0000 110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статьи 394 Налогового кодекса Российской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Федерации и прим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8C101A">
              <w:rPr>
                <w:rFonts w:ascii="Arial Cyr" w:hAnsi="Arial Cyr"/>
                <w:sz w:val="20"/>
                <w:szCs w:val="20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61634,57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1 06 06043 10 0000 110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статьи 394 Налогового кодекса Российской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Федерации и прим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8C101A">
              <w:rPr>
                <w:rFonts w:ascii="Arial Cyr" w:hAnsi="Arial Cyr"/>
                <w:sz w:val="20"/>
                <w:szCs w:val="20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687224,71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1 09 04053 10 2000 110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Земельный налог,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мобилизуемый на территориях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12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1 08 04020 01 0000 110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8270,00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находящегося в государственной и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308463,50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1 14 02053 10 0000 440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Доходы от реализации иного имущества,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sz w:val="20"/>
                <w:szCs w:val="20"/>
              </w:rPr>
              <w:t>находящегося в собственности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302000,00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1 11 05075 10 0000 120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мущества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,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составляющего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 xml:space="preserve"> казну поселений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2693,50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(за исключением земельных участков)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1 13 01995 10 0000 130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г(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>работ) получателями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3770,00</w:t>
            </w:r>
          </w:p>
        </w:tc>
      </w:tr>
      <w:tr w:rsidR="008C101A" w:rsidRPr="008C101A" w:rsidTr="008C101A">
        <w:trPr>
          <w:trHeight w:val="27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материальных</w:t>
            </w:r>
            <w:proofErr w:type="gramEnd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 и 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нематериальных активов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Доходы от продажи земельных участков,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8C101A">
              <w:rPr>
                <w:rFonts w:ascii="Arial Cyr" w:hAnsi="Arial Cyr"/>
                <w:sz w:val="20"/>
                <w:szCs w:val="20"/>
              </w:rPr>
              <w:t>имущества</w:t>
            </w:r>
            <w:proofErr w:type="gramStart"/>
            <w:r w:rsidRPr="008C101A">
              <w:rPr>
                <w:rFonts w:ascii="Arial Cyr" w:hAnsi="Arial Cyr"/>
                <w:sz w:val="20"/>
                <w:szCs w:val="20"/>
              </w:rPr>
              <w:t>,н</w:t>
            </w:r>
            <w:proofErr w:type="gramEnd"/>
            <w:r w:rsidRPr="008C101A">
              <w:rPr>
                <w:rFonts w:ascii="Arial Cyr" w:hAnsi="Arial Cyr"/>
                <w:sz w:val="20"/>
                <w:szCs w:val="20"/>
              </w:rPr>
              <w:t>аходящихся</w:t>
            </w:r>
            <w:proofErr w:type="spellEnd"/>
            <w:r w:rsidRPr="008C101A">
              <w:rPr>
                <w:rFonts w:ascii="Arial Cyr" w:hAnsi="Arial Cyr"/>
                <w:sz w:val="20"/>
                <w:szCs w:val="20"/>
              </w:rPr>
              <w:t xml:space="preserve"> в собственности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71126,16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1 17 05050 10 0000 180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71126,16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2720090,00</w:t>
            </w:r>
          </w:p>
        </w:tc>
      </w:tr>
      <w:tr w:rsidR="008C101A" w:rsidRPr="008C101A" w:rsidTr="008C101A">
        <w:trPr>
          <w:trHeight w:val="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2 02 09054 10 7301 151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безвозмедные</w:t>
            </w:r>
            <w:proofErr w:type="spellEnd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поступления в бюджеты поселений от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1644980,00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Дотации бюджетам сельских поселений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313500,00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</w:t>
            </w:r>
            <w:r w:rsidR="00D017D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178950,00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2 02 04999 10 7503 151</w:t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500000,00</w:t>
            </w:r>
          </w:p>
        </w:tc>
      </w:tr>
      <w:tr w:rsidR="008C101A" w:rsidRPr="008C101A" w:rsidTr="008C101A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передаваемые</w:t>
            </w:r>
            <w:proofErr w:type="gramEnd"/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C101A" w:rsidRPr="008C101A" w:rsidTr="008C101A">
        <w:trPr>
          <w:trHeight w:val="52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2 07 05030 10 6300 180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01A" w:rsidRPr="008C101A" w:rsidRDefault="008C101A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C101A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1A" w:rsidRPr="008C101A" w:rsidRDefault="008C101A" w:rsidP="008C101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C101A">
              <w:rPr>
                <w:rFonts w:ascii="Arial Cyr" w:hAnsi="Arial Cyr"/>
                <w:sz w:val="20"/>
                <w:szCs w:val="20"/>
              </w:rPr>
              <w:t>82660,00</w:t>
            </w:r>
          </w:p>
        </w:tc>
      </w:tr>
    </w:tbl>
    <w:p w:rsidR="00D017D3" w:rsidRDefault="00D017D3" w:rsidP="008C101A">
      <w:pPr>
        <w:ind w:firstLine="708"/>
      </w:pPr>
    </w:p>
    <w:p w:rsidR="00D017D3" w:rsidRPr="00D017D3" w:rsidRDefault="00D017D3" w:rsidP="00D017D3"/>
    <w:p w:rsidR="00D017D3" w:rsidRPr="00D017D3" w:rsidRDefault="00D017D3" w:rsidP="00D017D3"/>
    <w:p w:rsidR="00D017D3" w:rsidRPr="00D017D3" w:rsidRDefault="00D017D3" w:rsidP="00D017D3"/>
    <w:p w:rsidR="00D017D3" w:rsidRPr="00D017D3" w:rsidRDefault="00D017D3" w:rsidP="00D017D3"/>
    <w:p w:rsidR="00D017D3" w:rsidRDefault="00D017D3" w:rsidP="00D017D3"/>
    <w:p w:rsidR="00D017D3" w:rsidRDefault="00D017D3" w:rsidP="00D017D3"/>
    <w:p w:rsidR="008C101A" w:rsidRDefault="00D017D3" w:rsidP="00D017D3">
      <w:pPr>
        <w:tabs>
          <w:tab w:val="left" w:pos="1155"/>
        </w:tabs>
      </w:pPr>
      <w:r>
        <w:tab/>
      </w: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tbl>
      <w:tblPr>
        <w:tblW w:w="10080" w:type="dxa"/>
        <w:tblInd w:w="93" w:type="dxa"/>
        <w:tblLayout w:type="fixed"/>
        <w:tblLook w:val="04A0"/>
      </w:tblPr>
      <w:tblGrid>
        <w:gridCol w:w="4268"/>
        <w:gridCol w:w="1120"/>
        <w:gridCol w:w="1060"/>
        <w:gridCol w:w="1240"/>
        <w:gridCol w:w="974"/>
        <w:gridCol w:w="1418"/>
      </w:tblGrid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к  решению Совета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D017D3">
              <w:rPr>
                <w:rFonts w:ascii="Arial Cyr" w:hAnsi="Arial Cyr"/>
                <w:sz w:val="20"/>
                <w:szCs w:val="20"/>
              </w:rPr>
              <w:t xml:space="preserve">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_Юмашевский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 xml:space="preserve">Чекмагушевский район  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D017D3" w:rsidRPr="00D017D3" w:rsidTr="00D017D3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от 21  декабря 2016 года №49</w:t>
            </w:r>
          </w:p>
        </w:tc>
      </w:tr>
      <w:tr w:rsidR="00D017D3" w:rsidRPr="00D017D3" w:rsidTr="00D017D3">
        <w:trPr>
          <w:trHeight w:val="1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D3" w:rsidRPr="00D017D3" w:rsidTr="00D017D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7D3" w:rsidRPr="00D017D3" w:rsidTr="00D017D3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сельского поселения Юмашевский сельсовет</w:t>
            </w:r>
          </w:p>
        </w:tc>
      </w:tr>
      <w:tr w:rsidR="00D017D3" w:rsidRPr="00D017D3" w:rsidTr="00D017D3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  Чекмагушевский район Республики Башкортостан за  11 месяцев 2016 года</w:t>
            </w:r>
          </w:p>
        </w:tc>
      </w:tr>
      <w:tr w:rsidR="00D017D3" w:rsidRPr="00D017D3" w:rsidTr="00D017D3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получателей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тыс</w:t>
            </w:r>
            <w:proofErr w:type="gramStart"/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17D3" w:rsidRPr="00D017D3" w:rsidTr="00D017D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17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4760,5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1692,3</w:t>
            </w:r>
          </w:p>
        </w:tc>
      </w:tr>
      <w:tr w:rsidR="00D017D3" w:rsidRPr="00D017D3" w:rsidTr="00D017D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557,3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557,3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557,3</w:t>
            </w:r>
          </w:p>
        </w:tc>
      </w:tr>
      <w:tr w:rsidR="00D017D3" w:rsidRPr="00D017D3" w:rsidTr="00D017D3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1135,0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1135,0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1135,0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5140100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 xml:space="preserve">Прочие закупки </w:t>
            </w: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D017D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017D3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и услуг для государственных нужд Республики Башкортостан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5140100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0418700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0418700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137,7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5118000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5118000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1782,4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Республиканская  целевая программа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5220400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1782,4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Прочие закупки 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D3">
              <w:rPr>
                <w:rFonts w:ascii="Times New Roman" w:hAnsi="Times New Roman"/>
                <w:sz w:val="24"/>
                <w:szCs w:val="24"/>
              </w:rPr>
              <w:t>работ и услуг для государственных нужд Республики Башкортостан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5220400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1782,4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Полномочия в области земельных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3400303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751,1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Капитальный ремо</w:t>
            </w:r>
            <w:r>
              <w:rPr>
                <w:rFonts w:ascii="Times New Roman" w:hAnsi="Times New Roman"/>
                <w:sz w:val="24"/>
                <w:szCs w:val="24"/>
              </w:rPr>
              <w:t>нт государственного жилищного фо</w:t>
            </w:r>
            <w:r w:rsidRPr="00D017D3">
              <w:rPr>
                <w:rFonts w:ascii="Times New Roman" w:hAnsi="Times New Roman"/>
                <w:sz w:val="24"/>
                <w:szCs w:val="24"/>
              </w:rPr>
              <w:t xml:space="preserve">нда </w:t>
            </w:r>
            <w:proofErr w:type="spellStart"/>
            <w:r w:rsidRPr="00D017D3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D017D3">
              <w:rPr>
                <w:rFonts w:ascii="Times New Roman" w:hAnsi="Times New Roman"/>
                <w:sz w:val="24"/>
                <w:szCs w:val="24"/>
              </w:rPr>
              <w:t xml:space="preserve"> РФ и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3500200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Субсидии юридического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3500200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20,8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Субсидии юридического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3510500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730,3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D017D3" w:rsidRPr="00D017D3" w:rsidTr="00D017D3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596,6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населения и организации к действиям в ЧС в мирное и военное время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2190100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2190100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017D3" w:rsidRPr="00D017D3" w:rsidTr="00D017D3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Выполнение функций бюджет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017D3">
              <w:rPr>
                <w:rFonts w:ascii="Times New Roman" w:hAnsi="Times New Roman"/>
                <w:sz w:val="24"/>
                <w:szCs w:val="24"/>
              </w:rPr>
              <w:t>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017D3" w:rsidRPr="00D017D3" w:rsidTr="00D017D3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молодежной политики 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7D3">
              <w:rPr>
                <w:rFonts w:ascii="Times New Roman" w:hAnsi="Times New Roman"/>
                <w:sz w:val="24"/>
                <w:szCs w:val="24"/>
              </w:rPr>
              <w:t>пальном районе на 2014-2017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7D3">
              <w:rPr>
                <w:rFonts w:ascii="Times New Roman" w:hAnsi="Times New Roman"/>
                <w:i/>
                <w:iCs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4311000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017D3" w:rsidRPr="00D017D3" w:rsidTr="00D017D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4311000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</w:tbl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tbl>
      <w:tblPr>
        <w:tblW w:w="8560" w:type="dxa"/>
        <w:tblInd w:w="93" w:type="dxa"/>
        <w:tblLook w:val="04A0"/>
      </w:tblPr>
      <w:tblGrid>
        <w:gridCol w:w="4360"/>
        <w:gridCol w:w="1000"/>
        <w:gridCol w:w="1080"/>
        <w:gridCol w:w="640"/>
        <w:gridCol w:w="960"/>
        <w:gridCol w:w="520"/>
      </w:tblGrid>
      <w:tr w:rsidR="00D017D3" w:rsidRPr="00D017D3" w:rsidTr="00D017D3">
        <w:trPr>
          <w:trHeight w:val="31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сельского поселения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 xml:space="preserve">Юмашевский сельсовет </w:t>
            </w:r>
            <w:proofErr w:type="gramStart"/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района Чекмагушевский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Республики Б</w:t>
            </w: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от 21 декабря 2016г №49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сельского поселения</w:t>
            </w:r>
          </w:p>
        </w:tc>
      </w:tr>
      <w:tr w:rsidR="00D017D3" w:rsidRPr="00D017D3" w:rsidTr="00D017D3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Юмашевский сельсовет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7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Чекмагушевский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52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01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Республики Башкортостан за 11 месяцев 2016 года.</w:t>
            </w:r>
          </w:p>
        </w:tc>
      </w:tr>
      <w:tr w:rsidR="00D017D3" w:rsidRPr="00D017D3" w:rsidTr="00D017D3">
        <w:trPr>
          <w:trHeight w:val="615"/>
        </w:trPr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расходов бюджета сельского поселения  Юмашевский сельсовет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72"/>
        </w:trPr>
        <w:tc>
          <w:tcPr>
            <w:tcW w:w="8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района Чекмагушевский район Республики Башкортостан </w:t>
            </w:r>
            <w:proofErr w:type="gramStart"/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600"/>
        </w:trPr>
        <w:tc>
          <w:tcPr>
            <w:tcW w:w="8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11 месяцев 2016 года  по разделам, подразделам, целевым статьям и видам расходов</w:t>
            </w:r>
          </w:p>
        </w:tc>
      </w:tr>
      <w:tr w:rsidR="00D017D3" w:rsidRPr="00D017D3" w:rsidTr="00D017D3">
        <w:trPr>
          <w:trHeight w:val="492"/>
        </w:trPr>
        <w:tc>
          <w:tcPr>
            <w:tcW w:w="8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7D3">
              <w:rPr>
                <w:rFonts w:ascii="Arial" w:hAnsi="Arial" w:cs="Arial"/>
                <w:color w:val="000000"/>
                <w:sz w:val="24"/>
                <w:szCs w:val="24"/>
              </w:rPr>
              <w:t>функциональной классификации расходов бюджетов Российской Федерации.</w:t>
            </w:r>
          </w:p>
        </w:tc>
      </w:tr>
      <w:tr w:rsidR="00D017D3" w:rsidRPr="00D017D3" w:rsidTr="00D017D3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7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17D3" w:rsidRPr="00D017D3" w:rsidTr="00D017D3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D017D3" w:rsidRPr="00D017D3" w:rsidTr="00D017D3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4760499,18</w:t>
            </w:r>
          </w:p>
        </w:tc>
      </w:tr>
      <w:tr w:rsidR="00D017D3" w:rsidRPr="00D017D3" w:rsidTr="00D017D3">
        <w:trPr>
          <w:trHeight w:val="80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1692310,69</w:t>
            </w:r>
          </w:p>
        </w:tc>
      </w:tr>
      <w:tr w:rsidR="00D017D3" w:rsidRPr="00D017D3" w:rsidTr="00D017D3">
        <w:trPr>
          <w:trHeight w:val="15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 государственной власти и местного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557358,53</w:t>
            </w:r>
          </w:p>
        </w:tc>
      </w:tr>
      <w:tr w:rsidR="00D017D3" w:rsidRPr="00D017D3" w:rsidTr="00D017D3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Глава  МО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557358,53</w:t>
            </w:r>
          </w:p>
        </w:tc>
      </w:tr>
      <w:tr w:rsidR="00D017D3" w:rsidRPr="00D017D3" w:rsidTr="00D017D3">
        <w:trPr>
          <w:trHeight w:val="88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557358,53</w:t>
            </w:r>
          </w:p>
        </w:tc>
      </w:tr>
      <w:tr w:rsidR="00D017D3" w:rsidRPr="00D017D3" w:rsidTr="00D017D3">
        <w:trPr>
          <w:trHeight w:val="57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1134952,16</w:t>
            </w:r>
          </w:p>
        </w:tc>
      </w:tr>
      <w:tr w:rsidR="00D017D3" w:rsidRPr="00D017D3" w:rsidTr="00D017D3">
        <w:trPr>
          <w:trHeight w:val="87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1134952,16</w:t>
            </w:r>
          </w:p>
        </w:tc>
      </w:tr>
      <w:tr w:rsidR="00D017D3" w:rsidRPr="00D017D3" w:rsidTr="00D017D3">
        <w:trPr>
          <w:trHeight w:val="57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17D3" w:rsidRPr="00D017D3" w:rsidTr="00D017D3">
        <w:trPr>
          <w:trHeight w:val="52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418700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5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418700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64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D017D3" w:rsidRPr="00D017D3" w:rsidTr="00D017D3">
        <w:trPr>
          <w:trHeight w:val="8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017D3" w:rsidRPr="00D017D3" w:rsidTr="00D017D3">
        <w:trPr>
          <w:trHeight w:val="8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017D3" w:rsidRPr="00D017D3" w:rsidTr="00D017D3">
        <w:trPr>
          <w:trHeight w:val="8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137716,80</w:t>
            </w:r>
          </w:p>
        </w:tc>
      </w:tr>
      <w:tr w:rsidR="00D017D3" w:rsidRPr="00D017D3" w:rsidTr="00D017D3">
        <w:trPr>
          <w:trHeight w:val="5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5118000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137716,80</w:t>
            </w:r>
          </w:p>
        </w:tc>
      </w:tr>
      <w:tr w:rsidR="00D017D3" w:rsidRPr="00D017D3" w:rsidTr="00D017D3">
        <w:trPr>
          <w:trHeight w:val="56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5118000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137716,80</w:t>
            </w:r>
          </w:p>
        </w:tc>
      </w:tr>
      <w:tr w:rsidR="00D017D3" w:rsidRPr="00D017D3" w:rsidTr="00D017D3">
        <w:trPr>
          <w:trHeight w:val="57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76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Полномочия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3400303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4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1782380,00</w:t>
            </w:r>
          </w:p>
        </w:tc>
      </w:tr>
      <w:tr w:rsidR="00D017D3" w:rsidRPr="00D017D3" w:rsidTr="00D017D3">
        <w:trPr>
          <w:trHeight w:val="66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целевая программа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5220400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1782380,00</w:t>
            </w:r>
          </w:p>
        </w:tc>
      </w:tr>
      <w:tr w:rsidR="00D017D3" w:rsidRPr="00D017D3" w:rsidTr="00D017D3">
        <w:trPr>
          <w:trHeight w:val="117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государственных нужд 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5220400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1782380,00</w:t>
            </w:r>
          </w:p>
        </w:tc>
      </w:tr>
      <w:tr w:rsidR="00D017D3" w:rsidRPr="00D017D3" w:rsidTr="00D017D3">
        <w:trPr>
          <w:trHeight w:val="58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751091,69</w:t>
            </w:r>
          </w:p>
        </w:tc>
      </w:tr>
      <w:tr w:rsidR="00D017D3" w:rsidRPr="00D017D3" w:rsidTr="00D017D3">
        <w:trPr>
          <w:trHeight w:val="51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128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государственного жилищного фонда </w:t>
            </w:r>
            <w:proofErr w:type="spellStart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муниципального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52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юридического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3500200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17D3" w:rsidRPr="00D017D3" w:rsidTr="00D017D3">
        <w:trPr>
          <w:trHeight w:val="67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20832,00</w:t>
            </w:r>
          </w:p>
        </w:tc>
      </w:tr>
      <w:tr w:rsidR="00D017D3" w:rsidRPr="00D017D3" w:rsidTr="00D017D3">
        <w:trPr>
          <w:trHeight w:val="7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20832,00</w:t>
            </w:r>
          </w:p>
        </w:tc>
      </w:tr>
      <w:tr w:rsidR="00D017D3" w:rsidRPr="00D017D3" w:rsidTr="00D017D3">
        <w:trPr>
          <w:trHeight w:val="39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3510500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20832,00</w:t>
            </w:r>
          </w:p>
        </w:tc>
      </w:tr>
      <w:tr w:rsidR="00D017D3" w:rsidRPr="00D017D3" w:rsidTr="00D017D3">
        <w:trPr>
          <w:trHeight w:val="49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730259,69</w:t>
            </w:r>
          </w:p>
        </w:tc>
      </w:tr>
      <w:tr w:rsidR="00D017D3" w:rsidRPr="00D017D3" w:rsidTr="00D017D3">
        <w:trPr>
          <w:trHeight w:val="46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133697,80</w:t>
            </w:r>
          </w:p>
        </w:tc>
      </w:tr>
      <w:tr w:rsidR="00D017D3" w:rsidRPr="00D017D3" w:rsidTr="00D017D3">
        <w:trPr>
          <w:trHeight w:val="118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перечисление государственным и муниципальным органам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133697,80</w:t>
            </w:r>
          </w:p>
        </w:tc>
      </w:tr>
      <w:tr w:rsidR="00D017D3" w:rsidRPr="00D017D3" w:rsidTr="00D017D3">
        <w:trPr>
          <w:trHeight w:val="80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596561,89</w:t>
            </w:r>
          </w:p>
        </w:tc>
      </w:tr>
      <w:tr w:rsidR="00D017D3" w:rsidRPr="00D017D3" w:rsidTr="00D017D3">
        <w:trPr>
          <w:trHeight w:val="114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 перечисление государственным и муниципальным органам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596561,89</w:t>
            </w:r>
          </w:p>
        </w:tc>
      </w:tr>
      <w:tr w:rsidR="00D017D3" w:rsidRPr="00D017D3" w:rsidTr="00D017D3">
        <w:trPr>
          <w:trHeight w:val="86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390000,00</w:t>
            </w:r>
          </w:p>
        </w:tc>
      </w:tr>
      <w:tr w:rsidR="00D017D3" w:rsidRPr="00D017D3" w:rsidTr="00D017D3">
        <w:trPr>
          <w:trHeight w:val="9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организации к действиям в ЧС в мирное и военное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2190100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390000,00</w:t>
            </w:r>
          </w:p>
        </w:tc>
      </w:tr>
      <w:tr w:rsidR="00D017D3" w:rsidRPr="00D017D3" w:rsidTr="00D017D3">
        <w:trPr>
          <w:trHeight w:val="78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2190100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390000,00</w:t>
            </w:r>
          </w:p>
        </w:tc>
      </w:tr>
      <w:tr w:rsidR="00D017D3" w:rsidRPr="00D017D3" w:rsidTr="00D017D3">
        <w:trPr>
          <w:trHeight w:val="84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D017D3" w:rsidRPr="00D017D3" w:rsidTr="00D017D3">
        <w:trPr>
          <w:trHeight w:val="1523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Развитие молодежной политики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пальном районе на 2014-2017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431100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D017D3" w:rsidRPr="00D017D3" w:rsidTr="00D017D3">
        <w:trPr>
          <w:trHeight w:val="469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431100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17D3" w:rsidRPr="00D017D3" w:rsidRDefault="00D017D3" w:rsidP="00D01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7D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</w:tbl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Default="00D017D3" w:rsidP="00D017D3">
      <w:pPr>
        <w:tabs>
          <w:tab w:val="left" w:pos="1155"/>
        </w:tabs>
      </w:pPr>
    </w:p>
    <w:p w:rsidR="00D017D3" w:rsidRPr="00D017D3" w:rsidRDefault="00D017D3" w:rsidP="00D017D3">
      <w:pPr>
        <w:spacing w:after="0" w:line="240" w:lineRule="auto"/>
        <w:jc w:val="right"/>
        <w:rPr>
          <w:rFonts w:ascii="Times New Roman" w:hAnsi="Times New Roman"/>
        </w:rPr>
      </w:pPr>
      <w:r w:rsidRPr="00D017D3">
        <w:rPr>
          <w:rFonts w:ascii="Times New Roman" w:hAnsi="Times New Roman"/>
        </w:rPr>
        <w:t>Приложение №5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к  решению Совета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сельского поселения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Юмашевский сельсовет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 xml:space="preserve"> муниципального района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Чекмагушевский район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Республики Башкортостан</w:t>
      </w:r>
    </w:p>
    <w:p w:rsidR="00D017D3" w:rsidRPr="00D017D3" w:rsidRDefault="00D017D3" w:rsidP="00D01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от  21 декабря 2016 г. № 49</w:t>
      </w:r>
    </w:p>
    <w:p w:rsidR="00D017D3" w:rsidRDefault="00D017D3" w:rsidP="00D017D3"/>
    <w:p w:rsidR="00D017D3" w:rsidRDefault="00D017D3" w:rsidP="00D017D3">
      <w:pPr>
        <w:autoSpaceDE w:val="0"/>
        <w:autoSpaceDN w:val="0"/>
        <w:adjustRightInd w:val="0"/>
        <w:jc w:val="right"/>
        <w:outlineLvl w:val="0"/>
      </w:pPr>
    </w:p>
    <w:p w:rsidR="00D017D3" w:rsidRDefault="00D017D3" w:rsidP="00D017D3">
      <w:pPr>
        <w:pStyle w:val="ConsPlusTitle"/>
        <w:widowControl/>
        <w:jc w:val="center"/>
        <w:outlineLvl w:val="0"/>
      </w:pPr>
      <w:r>
        <w:t xml:space="preserve">Источники финансирования дефицита бюджета сельского поселения Юмашевский сельсовет муниципального района Чекмагушевский район за 11месяцев 2016 года по кодам </w:t>
      </w:r>
      <w:proofErr w:type="gramStart"/>
      <w:r>
        <w:t>классификации источников финансирования дефицитов бюджетов</w:t>
      </w:r>
      <w:proofErr w:type="gramEnd"/>
    </w:p>
    <w:p w:rsidR="00D017D3" w:rsidRPr="00575D65" w:rsidRDefault="00D017D3" w:rsidP="00D017D3">
      <w:pPr>
        <w:jc w:val="center"/>
      </w:pPr>
      <w:r w:rsidRPr="00575D65">
        <w:t xml:space="preserve">                                                                                                                 </w:t>
      </w:r>
      <w:r>
        <w:t xml:space="preserve">                                                </w:t>
      </w:r>
      <w:r w:rsidRPr="00575D65">
        <w:t xml:space="preserve">    </w:t>
      </w:r>
      <w:r>
        <w:t>(</w:t>
      </w:r>
      <w:r w:rsidRPr="00575D65">
        <w:t>в рублях</w:t>
      </w:r>
      <w:r>
        <w:t>)</w:t>
      </w:r>
      <w:r w:rsidRPr="00575D65"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590"/>
        <w:gridCol w:w="1890"/>
      </w:tblGrid>
      <w:tr w:rsidR="00D017D3" w:rsidTr="00210646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подгруппы, статьи, подстатьи,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элемента, программы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(подпрограммы), 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источников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017D3" w:rsidTr="00210646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D017D3" w:rsidTr="0021064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791 01 05020110 0000 001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104301,86</w:t>
            </w:r>
          </w:p>
        </w:tc>
      </w:tr>
      <w:tr w:rsidR="00D017D3" w:rsidTr="00210646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791 01 05020110 0000 002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  на   конец    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742819,53</w:t>
            </w:r>
          </w:p>
        </w:tc>
      </w:tr>
    </w:tbl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Default="00D017D3" w:rsidP="00D017D3">
      <w:pPr>
        <w:jc w:val="center"/>
        <w:rPr>
          <w:b/>
        </w:rPr>
      </w:pPr>
    </w:p>
    <w:p w:rsidR="00D017D3" w:rsidRPr="00D017D3" w:rsidRDefault="00D017D3" w:rsidP="00D017D3">
      <w:pPr>
        <w:spacing w:after="0"/>
        <w:jc w:val="right"/>
        <w:rPr>
          <w:rFonts w:ascii="Times New Roman" w:hAnsi="Times New Roman"/>
        </w:rPr>
      </w:pPr>
      <w:r w:rsidRPr="00D017D3">
        <w:rPr>
          <w:rFonts w:ascii="Times New Roman" w:hAnsi="Times New Roman"/>
        </w:rPr>
        <w:lastRenderedPageBreak/>
        <w:t>Приложение №6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к  решению Совета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сельского поселения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Юмашевский сельсовет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 xml:space="preserve"> муниципального района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Чекмагушевский район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Республики Башкортостан</w:t>
      </w:r>
    </w:p>
    <w:p w:rsidR="00D017D3" w:rsidRPr="00D017D3" w:rsidRDefault="00D017D3" w:rsidP="00D017D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D017D3">
        <w:rPr>
          <w:rFonts w:ascii="Times New Roman" w:hAnsi="Times New Roman"/>
        </w:rPr>
        <w:t>от  21 декабря 2016 г. № 49</w:t>
      </w:r>
    </w:p>
    <w:p w:rsidR="00D017D3" w:rsidRDefault="00D017D3" w:rsidP="00D017D3">
      <w:pPr>
        <w:autoSpaceDE w:val="0"/>
        <w:autoSpaceDN w:val="0"/>
        <w:adjustRightInd w:val="0"/>
        <w:jc w:val="right"/>
        <w:outlineLvl w:val="0"/>
      </w:pPr>
    </w:p>
    <w:p w:rsidR="00D017D3" w:rsidRDefault="00D017D3" w:rsidP="00D017D3">
      <w:pPr>
        <w:pStyle w:val="ConsPlusTitle"/>
        <w:widowControl/>
        <w:jc w:val="center"/>
        <w:outlineLvl w:val="0"/>
      </w:pPr>
      <w:r>
        <w:t xml:space="preserve">Источники финансирования дефицита бюджета сельского поселения Юмашевский сельсовет муниципального района Чекмагушевский район за 11 месяцев  2016 года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</w:t>
      </w:r>
    </w:p>
    <w:p w:rsidR="00D017D3" w:rsidRDefault="00D017D3" w:rsidP="00D017D3">
      <w:pPr>
        <w:pStyle w:val="ConsPlusTitle"/>
        <w:widowControl/>
        <w:jc w:val="center"/>
        <w:outlineLvl w:val="0"/>
      </w:pPr>
    </w:p>
    <w:p w:rsidR="00D017D3" w:rsidRPr="00EB2F06" w:rsidRDefault="00D017D3" w:rsidP="00D017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EB2F06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590"/>
        <w:gridCol w:w="1890"/>
      </w:tblGrid>
      <w:tr w:rsidR="00D017D3" w:rsidRPr="00EB2F06" w:rsidTr="00210646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подгруппы, статьи, подстатьи,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элемента, программы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(подпрограммы), 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источников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2F06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</w:tr>
      <w:tr w:rsidR="00D017D3" w:rsidTr="00210646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внутреннего финансирования дефицитов бюджетов        </w:t>
            </w:r>
          </w:p>
        </w:tc>
      </w:tr>
      <w:tr w:rsidR="00D017D3" w:rsidTr="00210646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791 01 05020110 0000 001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104301,86</w:t>
            </w:r>
          </w:p>
        </w:tc>
      </w:tr>
      <w:tr w:rsidR="00D017D3" w:rsidTr="00210646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791 01 05020110 0000 002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  на   конец    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7D3" w:rsidRDefault="00D017D3" w:rsidP="0021064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742819,53</w:t>
            </w:r>
          </w:p>
        </w:tc>
      </w:tr>
    </w:tbl>
    <w:p w:rsidR="00D017D3" w:rsidRDefault="00D017D3" w:rsidP="00D017D3"/>
    <w:p w:rsidR="00D017D3" w:rsidRPr="002067C8" w:rsidRDefault="00D017D3" w:rsidP="00D017D3">
      <w:pPr>
        <w:jc w:val="center"/>
        <w:rPr>
          <w:b/>
        </w:rPr>
      </w:pPr>
    </w:p>
    <w:p w:rsidR="00D017D3" w:rsidRDefault="00D017D3" w:rsidP="00D017D3">
      <w:pPr>
        <w:tabs>
          <w:tab w:val="left" w:pos="1155"/>
        </w:tabs>
      </w:pPr>
    </w:p>
    <w:p w:rsidR="00D017D3" w:rsidRPr="00D017D3" w:rsidRDefault="00D017D3" w:rsidP="00D017D3">
      <w:pPr>
        <w:tabs>
          <w:tab w:val="left" w:pos="1155"/>
        </w:tabs>
      </w:pPr>
    </w:p>
    <w:sectPr w:rsidR="00D017D3" w:rsidRPr="00D017D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1A"/>
    <w:rsid w:val="00310033"/>
    <w:rsid w:val="00583CBC"/>
    <w:rsid w:val="008C101A"/>
    <w:rsid w:val="009174F7"/>
    <w:rsid w:val="009D7DE9"/>
    <w:rsid w:val="00AB526D"/>
    <w:rsid w:val="00B15AE6"/>
    <w:rsid w:val="00B85006"/>
    <w:rsid w:val="00D0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1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10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C10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C101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C101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101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101A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01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2017-01-09T09:13:00Z</dcterms:created>
  <dcterms:modified xsi:type="dcterms:W3CDTF">2017-01-09T09:29:00Z</dcterms:modified>
</cp:coreProperties>
</file>