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E" w:rsidRDefault="00A21B5E" w:rsidP="00A21B5E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W w:w="10485" w:type="dxa"/>
        <w:tblInd w:w="-176" w:type="dxa"/>
        <w:tblLayout w:type="fixed"/>
        <w:tblLook w:val="04A0"/>
      </w:tblPr>
      <w:tblGrid>
        <w:gridCol w:w="4469"/>
        <w:gridCol w:w="1541"/>
        <w:gridCol w:w="4475"/>
      </w:tblGrid>
      <w:tr w:rsidR="00A21B5E" w:rsidTr="00A21B5E">
        <w:trPr>
          <w:cantSplit/>
          <w:trHeight w:val="891"/>
        </w:trPr>
        <w:tc>
          <w:tcPr>
            <w:tcW w:w="4471" w:type="dxa"/>
          </w:tcPr>
          <w:p w:rsidR="00A21B5E" w:rsidRDefault="00A21B5E">
            <w:pPr>
              <w:spacing w:after="0" w:line="240" w:lineRule="auto"/>
              <w:ind w:left="-426" w:firstLine="426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 w:val="0"/>
                <w:sz w:val="4"/>
              </w:rPr>
            </w:pP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 w:val="0"/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41" w:type="dxa"/>
          </w:tcPr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775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6" w:type="dxa"/>
          </w:tcPr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21B5E" w:rsidRDefault="00A21B5E">
            <w:pPr>
              <w:pStyle w:val="4"/>
              <w:framePr w:hSpace="0" w:wrap="auto" w:vAnchor="margin" w:hAnchor="text" w:xAlign="left" w:yAlign="inline"/>
              <w:ind w:left="-426" w:firstLine="426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21B5E" w:rsidRDefault="00A21B5E">
            <w:pPr>
              <w:pStyle w:val="6"/>
              <w:framePr w:hSpace="0" w:wrap="auto" w:vAnchor="margin" w:hAnchor="text" w:yAlign="inline"/>
              <w:ind w:left="-426" w:firstLine="426"/>
              <w:rPr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rPr>
                <w:sz w:val="4"/>
              </w:rPr>
            </w:pPr>
          </w:p>
          <w:p w:rsidR="00A21B5E" w:rsidRDefault="00A21B5E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21B5E" w:rsidTr="00A21B5E">
        <w:trPr>
          <w:cantSplit/>
          <w:trHeight w:val="80"/>
        </w:trPr>
        <w:tc>
          <w:tcPr>
            <w:tcW w:w="104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1B5E" w:rsidRDefault="00A21B5E">
            <w:pPr>
              <w:tabs>
                <w:tab w:val="center" w:pos="5136"/>
                <w:tab w:val="left" w:pos="5550"/>
              </w:tabs>
              <w:spacing w:after="0" w:line="240" w:lineRule="auto"/>
              <w:ind w:left="-426" w:firstLine="426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141EB1" w:rsidRDefault="00141EB1" w:rsidP="005274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7184">
        <w:rPr>
          <w:b/>
          <w:sz w:val="28"/>
          <w:szCs w:val="28"/>
        </w:rPr>
        <w:t xml:space="preserve"> </w:t>
      </w:r>
    </w:p>
    <w:p w:rsidR="00A21B5E" w:rsidRDefault="00141EB1" w:rsidP="00A21B5E">
      <w:pPr>
        <w:jc w:val="center"/>
        <w:rPr>
          <w:rFonts w:ascii="Arial New Bash" w:hAnsi="Arial New Bash"/>
          <w:b/>
          <w:sz w:val="28"/>
          <w:szCs w:val="28"/>
          <w:lang w:val="ba-RU"/>
        </w:rPr>
      </w:pPr>
      <w:r>
        <w:rPr>
          <w:rFonts w:ascii="Arial New Bash" w:hAnsi="Arial New Bash"/>
          <w:b/>
          <w:sz w:val="28"/>
          <w:szCs w:val="28"/>
          <w:lang w:val="ba-RU"/>
        </w:rPr>
        <w:t xml:space="preserve"> </w:t>
      </w:r>
      <w:proofErr w:type="gramStart"/>
      <w:r w:rsidRPr="00141EB1">
        <w:rPr>
          <w:rFonts w:ascii="Arial New Bash" w:hAnsi="Arial New Bash"/>
          <w:b/>
          <w:bCs/>
          <w:sz w:val="28"/>
          <w:szCs w:val="28"/>
        </w:rPr>
        <w:t>[</w:t>
      </w:r>
      <w:r w:rsidRPr="00141EB1">
        <w:rPr>
          <w:rFonts w:ascii="Arial New Bash" w:hAnsi="Arial New Bash"/>
          <w:b/>
          <w:sz w:val="28"/>
          <w:szCs w:val="28"/>
          <w:lang w:val="ba-RU"/>
        </w:rPr>
        <w:t>АРАР</w:t>
      </w:r>
      <w:r w:rsidRPr="00141EB1">
        <w:rPr>
          <w:rFonts w:ascii="Arial New Bash" w:hAnsi="Arial New Bash"/>
          <w:b/>
          <w:sz w:val="28"/>
          <w:szCs w:val="28"/>
        </w:rPr>
        <w:t xml:space="preserve">                                               РЕШЕНИЕ</w:t>
      </w:r>
      <w:proofErr w:type="gramEnd"/>
    </w:p>
    <w:p w:rsidR="00A21B5E" w:rsidRPr="00141EB1" w:rsidRDefault="00A21B5E" w:rsidP="00A21B5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41EB1">
        <w:rPr>
          <w:rFonts w:ascii="Times New Roman" w:hAnsi="Times New Roman" w:cs="Times New Roman"/>
          <w:i w:val="0"/>
        </w:rPr>
        <w:t>О деятельности Совета сельского поселения Юмашевский сельсовет   муниципального района Чекмагушевский район за 201</w:t>
      </w:r>
      <w:r w:rsidR="007A78EE">
        <w:rPr>
          <w:rFonts w:ascii="Times New Roman" w:hAnsi="Times New Roman" w:cs="Times New Roman"/>
          <w:i w:val="0"/>
        </w:rPr>
        <w:t>4</w:t>
      </w:r>
      <w:r w:rsidRPr="00141EB1">
        <w:rPr>
          <w:rFonts w:ascii="Times New Roman" w:hAnsi="Times New Roman" w:cs="Times New Roman"/>
          <w:i w:val="0"/>
        </w:rPr>
        <w:t xml:space="preserve"> год.</w:t>
      </w: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Заслушав информацию председателя Совета сельского поселения Юмашевский сельсовет муниципального района Чекмагушевский район   Тимофеева Г.С.. «О деятельности Совета сельского поселения Юмашевский сельсовет муниципального района Чекмагушевский район за 201</w:t>
      </w:r>
      <w:r w:rsidR="007A78E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год», Совет сельского поселения Юмашевский сельсовет    отмечает, что деятельность 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«О местном самоуправлении в Республике Башкортостан», Регламентом Совета и планом работы Совета. 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Советом района проделана определенная  работа, способствующая созданию в районе экономической и политической стабильности.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>В связи с частыми изменениями в законодательстве и  вступлением Федерального закона № 131-ФЗ «Об общих принципах организации местного самоуправления в Российской Федерации» в полную силу, в Устав муниципального  сельского поселения Юмашевский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Чекмагушевский район Республики Башкортостан внесены  некоторые изменения и дополнения. Устав района в новой редакции  прошел государственную регистрацию  в Управлении Министерства  юстиции Российской Федерации по Республике Башкортостан и  обнародован на информационном стенде Администрации сельского поселения.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За отчетный год созвано </w:t>
      </w:r>
      <w:r w:rsidR="00D17822"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 xml:space="preserve"> заседаний Совета.  Принято  </w:t>
      </w:r>
      <w:r w:rsidR="00D17822">
        <w:rPr>
          <w:rFonts w:ascii="Times New Roman" w:hAnsi="Times New Roman"/>
          <w:sz w:val="28"/>
        </w:rPr>
        <w:t xml:space="preserve">32 </w:t>
      </w:r>
      <w:r>
        <w:rPr>
          <w:rFonts w:ascii="Times New Roman" w:hAnsi="Times New Roman"/>
          <w:sz w:val="28"/>
        </w:rPr>
        <w:t>вопрос</w:t>
      </w:r>
      <w:r w:rsidR="00D1782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рассматриваемых вопросов и принимаемых ими решений  возросло количество решений, принимаемых Советом по  вопросам экономики. Неоднократно в течение года рассматривали вопросы  развития предпринимательства, кадровой политики, труда и занятости, в том числе и молодежи. Существенно возросло и число решений по вопросам культуры, образования, здравоохранения, а также по вопросам  благоустройства  и состояния экологии на территории муниципального образования. Увеличилось количество программ, принимаемых Советом муниципального района по регулированию  тех или иных направлений социально-экономического развития  территории.</w:t>
      </w:r>
    </w:p>
    <w:p w:rsidR="00A21B5E" w:rsidRDefault="00A21B5E" w:rsidP="00A21B5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подготовке вопросов к  заседанию   большой объём работы проделали депутатские комиссии.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С целью активизации работы органов местного самоуправления были проведены  ряд семинаров-совещаний с </w:t>
      </w:r>
      <w:r w:rsidR="007A78EE">
        <w:rPr>
          <w:rFonts w:ascii="Times New Roman" w:hAnsi="Times New Roman"/>
          <w:sz w:val="28"/>
        </w:rPr>
        <w:t xml:space="preserve"> руководителями учреждений</w:t>
      </w:r>
      <w:proofErr w:type="gramStart"/>
      <w:r w:rsidR="007A78E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. </w:t>
      </w:r>
      <w:proofErr w:type="gramEnd"/>
      <w:r>
        <w:rPr>
          <w:rFonts w:ascii="Times New Roman" w:hAnsi="Times New Roman"/>
          <w:sz w:val="28"/>
        </w:rPr>
        <w:t xml:space="preserve">С целью обмена опытом во всех сельских поселениях проведены выездные семинары-совещания по благоустройству территорий населённых пунктов. </w:t>
      </w:r>
    </w:p>
    <w:p w:rsidR="00A21B5E" w:rsidRDefault="00A21B5E" w:rsidP="00A21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</w:t>
      </w:r>
      <w:r>
        <w:rPr>
          <w:rFonts w:ascii="Times New Roman" w:hAnsi="Times New Roman"/>
          <w:sz w:val="28"/>
        </w:rPr>
        <w:t xml:space="preserve"> муниципального района Чекмагушевский район обеспечивал взаимодействие и координацию деятельности органов местного самоуправления по подготовке реформирования местного </w:t>
      </w:r>
      <w:r>
        <w:rPr>
          <w:rFonts w:ascii="Times New Roman" w:hAnsi="Times New Roman"/>
          <w:sz w:val="28"/>
          <w:szCs w:val="28"/>
        </w:rPr>
        <w:t xml:space="preserve">самоуправления. Проведен комплекс необходимых организационно-правовых мероприятий по приведению устава сельского поселения Юмашевский сельсовет муниципального района Чекмагушевский район в соответствие с федеральным и республиканским законодательством. </w:t>
      </w:r>
    </w:p>
    <w:p w:rsidR="00A21B5E" w:rsidRDefault="00A21B5E" w:rsidP="00A21B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Совета доводились до населения. </w:t>
      </w:r>
    </w:p>
    <w:p w:rsidR="00A21B5E" w:rsidRDefault="00A21B5E" w:rsidP="00A21B5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 вышеизложенного,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>
        <w:rPr>
          <w:rFonts w:ascii="Times New Roman" w:hAnsi="Times New Roman"/>
          <w:sz w:val="28"/>
        </w:rPr>
        <w:t>муниципального района Чекмагушевский район РЕШИЛ</w:t>
      </w:r>
      <w:r>
        <w:rPr>
          <w:rFonts w:ascii="Times New Roman" w:hAnsi="Times New Roman"/>
          <w:bCs/>
          <w:sz w:val="28"/>
        </w:rPr>
        <w:t>:</w:t>
      </w:r>
    </w:p>
    <w:p w:rsidR="00A21B5E" w:rsidRDefault="00A21B5E" w:rsidP="00A21B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</w:t>
      </w:r>
      <w:r w:rsidR="007A78EE">
        <w:rPr>
          <w:rFonts w:ascii="Times New Roman" w:hAnsi="Times New Roman"/>
          <w:sz w:val="28"/>
        </w:rPr>
        <w:t xml:space="preserve"> главы сельского поселения Семеновой Е.С.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 «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деятельности  Совета  </w:t>
      </w:r>
      <w:r>
        <w:rPr>
          <w:rFonts w:ascii="Times New Roman" w:hAnsi="Times New Roman"/>
          <w:sz w:val="28"/>
          <w:szCs w:val="28"/>
        </w:rPr>
        <w:t>сельского поселения Юмашевский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Чекмагушевский район за 201</w:t>
      </w:r>
      <w:r w:rsidR="007A78E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год»  принять к сведению.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Постоянным комиссиям Совета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Советов сельских поселений.</w:t>
      </w:r>
    </w:p>
    <w:p w:rsidR="00A21B5E" w:rsidRDefault="00A21B5E" w:rsidP="00A21B5E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Советов сельских поселений;</w:t>
      </w:r>
    </w:p>
    <w:p w:rsidR="00A21B5E" w:rsidRDefault="00A21B5E" w:rsidP="00A21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A21B5E" w:rsidRDefault="00D17822" w:rsidP="00D1782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B5E">
        <w:rPr>
          <w:rFonts w:ascii="Times New Roman" w:hAnsi="Times New Roman"/>
          <w:sz w:val="28"/>
          <w:szCs w:val="28"/>
        </w:rPr>
        <w:t>-</w:t>
      </w:r>
      <w:r w:rsidR="00A21B5E">
        <w:rPr>
          <w:rFonts w:ascii="Times New Roman" w:hAnsi="Times New Roman"/>
          <w:sz w:val="28"/>
        </w:rPr>
        <w:t>оказывать помощь в проведении публичных слушаний, собраний, конференций граждан, заседаний Совета;</w:t>
      </w:r>
    </w:p>
    <w:p w:rsidR="00A21B5E" w:rsidRDefault="00A21B5E" w:rsidP="00A21B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-изучить и обобщить опыт работы Советов и администраций сельских поселений по специальному плану.</w:t>
      </w:r>
    </w:p>
    <w:p w:rsidR="00141EB1" w:rsidRDefault="00141EB1" w:rsidP="00A21B5E">
      <w:pPr>
        <w:spacing w:after="0" w:line="240" w:lineRule="auto"/>
        <w:jc w:val="both"/>
        <w:rPr>
          <w:rFonts w:ascii="Times New Roman" w:hAnsi="Times New Roman"/>
          <w:sz w:val="28"/>
          <w:lang w:val="ba-RU"/>
        </w:rPr>
      </w:pP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</w:t>
      </w:r>
      <w:r w:rsidR="007A78EE">
        <w:rPr>
          <w:rFonts w:ascii="Times New Roman" w:hAnsi="Times New Roman"/>
          <w:sz w:val="28"/>
        </w:rPr>
        <w:t xml:space="preserve"> Е.С.Семенова</w:t>
      </w:r>
    </w:p>
    <w:p w:rsidR="00A21B5E" w:rsidRDefault="00A21B5E" w:rsidP="00A2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 Юмашево</w:t>
      </w:r>
    </w:p>
    <w:p w:rsidR="00D17822" w:rsidRDefault="00D17822" w:rsidP="00A2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февраля 2015 г</w:t>
      </w:r>
    </w:p>
    <w:p w:rsidR="00D17822" w:rsidRDefault="00D17822" w:rsidP="00A2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№169</w:t>
      </w:r>
    </w:p>
    <w:p w:rsidR="00C15FAE" w:rsidRDefault="00A21B5E" w:rsidP="005274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527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C15FAE" w:rsidSect="00141EB1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1B5E"/>
    <w:rsid w:val="00141EB1"/>
    <w:rsid w:val="00262A0F"/>
    <w:rsid w:val="00527431"/>
    <w:rsid w:val="0065001C"/>
    <w:rsid w:val="006B084F"/>
    <w:rsid w:val="007A78EE"/>
    <w:rsid w:val="00A21B5E"/>
    <w:rsid w:val="00B67723"/>
    <w:rsid w:val="00B97184"/>
    <w:rsid w:val="00BB406C"/>
    <w:rsid w:val="00C15FAE"/>
    <w:rsid w:val="00D1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F"/>
  </w:style>
  <w:style w:type="paragraph" w:styleId="1">
    <w:name w:val="heading 1"/>
    <w:basedOn w:val="a"/>
    <w:next w:val="a"/>
    <w:link w:val="10"/>
    <w:qFormat/>
    <w:rsid w:val="00A21B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1B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21B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B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21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21B5E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A21B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2015-02-02T03:47:00Z</cp:lastPrinted>
  <dcterms:created xsi:type="dcterms:W3CDTF">2014-02-20T09:09:00Z</dcterms:created>
  <dcterms:modified xsi:type="dcterms:W3CDTF">2015-02-02T03:48:00Z</dcterms:modified>
</cp:coreProperties>
</file>